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B6BCD" w14:textId="3929B268" w:rsidR="006F6864" w:rsidRDefault="007D50CB" w:rsidP="006F6864">
      <w:pPr>
        <w:rPr>
          <w:rFonts w:ascii="Helvetica" w:hAnsi="Helvetica"/>
          <w:color w:val="000000" w:themeColor="text1"/>
          <w:sz w:val="18"/>
          <w:szCs w:val="18"/>
          <w:lang w:val="el-GR"/>
        </w:rPr>
      </w:pPr>
      <w:r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Καλούνται οι φοιτητές του Τμήματος Φυσικής του Διεθνούς Πανεπιστημίου της Ελλάδος να συμμετάσχουν στο </w:t>
      </w:r>
      <w:proofErr w:type="spellStart"/>
      <w:r w:rsidR="006F6864">
        <w:rPr>
          <w:rFonts w:ascii="Helvetica" w:hAnsi="Helvetica"/>
          <w:color w:val="000000" w:themeColor="text1"/>
          <w:sz w:val="18"/>
          <w:szCs w:val="18"/>
          <w:lang w:val="el-GR"/>
        </w:rPr>
        <w:t>προγράμμα</w:t>
      </w:r>
      <w:proofErr w:type="spellEnd"/>
      <w:r w:rsidR="006F6864"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 </w:t>
      </w:r>
      <w:r w:rsidR="006F6864" w:rsidRPr="006F6864"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«ΕΝΙΣΧΥΣΗ ΕΚΠΑΙΔΕΥΤΙΚΗΣ ΔΙΑΔΙΚΑΣΙΑΣ ΤΩΝ ΠΡΟΠΤΥΧΙΑΚΏΝ ΠΡΟΓΡΑΜΜΑΤΩΝ ΤΟΥ ΔΙΠΑΕ ΜΕΣΩ ΧΟΡΗΣΗΣΗΣ ΥΠΟΤΡΟΦΙΩΝ ΣΕ ΜΕΤΑΠΤΥΧΙΑΚΟΥΣ ΦΟΙΤΗΤΕΣ ΚΑΙ ΥΠΟΨΗΦΙΟΥΣ ΔΙΔΑΚΤΟΡΕΣ ΓΙΑ ΤΗ ΔΙΕΞΑΓΩΓΗ ΕΠΙΚΟΥΡΙΚΟΥ ΔΙΔΑΚΤΙΚΟΥ ΕΡΓΟΥ» </w:t>
      </w:r>
      <w:r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στο οποίο </w:t>
      </w:r>
      <w:r w:rsidR="006F6864" w:rsidRPr="006F6864"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έχουν </w:t>
      </w:r>
      <w:r w:rsidR="006F6864">
        <w:rPr>
          <w:rFonts w:ascii="Helvetica" w:hAnsi="Helvetica"/>
          <w:color w:val="000000" w:themeColor="text1"/>
          <w:sz w:val="18"/>
          <w:szCs w:val="18"/>
          <w:lang w:val="el-GR"/>
        </w:rPr>
        <w:t>εγκριθεί</w:t>
      </w:r>
      <w:r w:rsidR="006F6864" w:rsidRPr="006F6864">
        <w:rPr>
          <w:rFonts w:ascii="Helvetica" w:hAnsi="Helvetica"/>
          <w:color w:val="000000" w:themeColor="text1"/>
          <w:sz w:val="18"/>
          <w:szCs w:val="18"/>
          <w:lang w:val="el-GR"/>
        </w:rPr>
        <w:t xml:space="preserve"> 3 θέσεις για τα μαθήματα:</w:t>
      </w:r>
    </w:p>
    <w:p w14:paraId="584F582F" w14:textId="77777777" w:rsidR="006F6864" w:rsidRPr="006F6864" w:rsidRDefault="006F6864" w:rsidP="006F6864">
      <w:pPr>
        <w:rPr>
          <w:color w:val="000000" w:themeColor="text1"/>
          <w:lang w:val="el-GR"/>
        </w:rPr>
      </w:pPr>
    </w:p>
    <w:p w14:paraId="753C37EC" w14:textId="77777777" w:rsidR="006F6864" w:rsidRPr="007D50CB" w:rsidRDefault="006F6864" w:rsidP="006F6864">
      <w:pPr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</w:pPr>
      <w:r w:rsidRPr="007D50CB"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  <w:t>Διαφορικός Λογισμός ΙΙ</w:t>
      </w:r>
    </w:p>
    <w:p w14:paraId="223A4828" w14:textId="77777777" w:rsidR="006F6864" w:rsidRPr="007D50CB" w:rsidRDefault="006F6864" w:rsidP="006F6864">
      <w:pPr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</w:pPr>
      <w:r w:rsidRPr="007D50CB"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  <w:t>Γενική Φυσική ΙΙ και</w:t>
      </w:r>
      <w:r w:rsidRPr="007D50CB">
        <w:rPr>
          <w:b/>
          <w:bCs/>
          <w:color w:val="000000" w:themeColor="text1"/>
        </w:rPr>
        <w:t> </w:t>
      </w:r>
    </w:p>
    <w:p w14:paraId="30EEDDE8" w14:textId="77777777" w:rsidR="006F6864" w:rsidRPr="007D50CB" w:rsidRDefault="006F6864" w:rsidP="006F6864">
      <w:pPr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</w:pPr>
      <w:r w:rsidRPr="007D50CB">
        <w:rPr>
          <w:rFonts w:ascii="Helvetica" w:hAnsi="Helvetica"/>
          <w:b/>
          <w:bCs/>
          <w:color w:val="000000" w:themeColor="text1"/>
          <w:sz w:val="18"/>
          <w:szCs w:val="18"/>
          <w:lang w:val="el-GR"/>
        </w:rPr>
        <w:t>Γενικό Εργαστήριο Φυσικής</w:t>
      </w:r>
    </w:p>
    <w:p w14:paraId="56C3C9AC" w14:textId="77777777" w:rsidR="006F6864" w:rsidRPr="006F6864" w:rsidRDefault="006F6864" w:rsidP="006F6864">
      <w:pPr>
        <w:rPr>
          <w:rFonts w:ascii="Helvetica" w:hAnsi="Helvetica"/>
          <w:color w:val="000000" w:themeColor="text1"/>
          <w:sz w:val="18"/>
          <w:szCs w:val="18"/>
          <w:lang w:val="el-GR"/>
        </w:rPr>
      </w:pPr>
    </w:p>
    <w:p w14:paraId="734A8AAB" w14:textId="44845627" w:rsidR="006F6864" w:rsidRPr="007D50CB" w:rsidRDefault="006F6864" w:rsidP="006F6864">
      <w:pPr>
        <w:rPr>
          <w:color w:val="000000" w:themeColor="text1"/>
          <w:lang w:val="el-GR"/>
        </w:rPr>
      </w:pPr>
      <w:r w:rsidRPr="007D50CB">
        <w:rPr>
          <w:color w:val="000000" w:themeColor="text1"/>
          <w:lang w:val="el-GR"/>
        </w:rPr>
        <w:t xml:space="preserve">Η διεξαγωγή των φροντιστηριακών μαθημάτων θα </w:t>
      </w:r>
      <w:r w:rsidR="007D50CB">
        <w:rPr>
          <w:color w:val="000000" w:themeColor="text1"/>
          <w:lang w:val="el-GR"/>
        </w:rPr>
        <w:t>πραγματοποιηθεί</w:t>
      </w:r>
      <w:r w:rsidRPr="007D50CB">
        <w:rPr>
          <w:color w:val="000000" w:themeColor="text1"/>
          <w:lang w:val="el-GR"/>
        </w:rPr>
        <w:t xml:space="preserve"> από το τέλος της εξεταστικής έως και 2 Αυγούστου</w:t>
      </w:r>
      <w:r w:rsidR="007D50CB">
        <w:rPr>
          <w:color w:val="000000" w:themeColor="text1"/>
          <w:lang w:val="el-GR"/>
        </w:rPr>
        <w:t>. Τα στοιχεία του διδάσκοντα για διευκρινήσεις είναι:</w:t>
      </w:r>
      <w:bookmarkStart w:id="0" w:name="_GoBack"/>
      <w:bookmarkEnd w:id="0"/>
    </w:p>
    <w:p w14:paraId="12FE6255" w14:textId="0DB6AEEC" w:rsidR="00E33A1D" w:rsidRDefault="00E33A1D" w:rsidP="006F6864">
      <w:pPr>
        <w:rPr>
          <w:color w:val="000000" w:themeColor="text1"/>
          <w:lang w:val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905"/>
        <w:gridCol w:w="3195"/>
      </w:tblGrid>
      <w:tr w:rsidR="007D50CB" w14:paraId="053CD960" w14:textId="77777777" w:rsidTr="007D50CB"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F1C6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lang w:val="el-GR"/>
              </w:rPr>
              <w:br/>
              <w:t>Υπεύθυνος Καθηγητής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2374" w14:textId="6EF4F7B4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lang w:val="el-GR"/>
              </w:rPr>
              <w:t>Υπότροφος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F2AF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lang w:val="el-GR"/>
              </w:rPr>
              <w:t>Κινητό Υποτρόφου</w:t>
            </w:r>
          </w:p>
        </w:tc>
      </w:tr>
      <w:tr w:rsidR="007D50CB" w14:paraId="5F26A6B3" w14:textId="77777777" w:rsidTr="007D50C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FB64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Διαφορικός Λογισμός ΙΙ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2FD3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Ν. Γρηγοριάδης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9203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hyperlink r:id="rId4" w:tgtFrame="_blank" w:history="1">
              <w:r>
                <w:rPr>
                  <w:rStyle w:val="Hyperlink"/>
                  <w:rFonts w:ascii="Cambria" w:hAnsi="Cambria"/>
                </w:rPr>
                <w:t>nikgrigor@yahoo.gr</w:t>
              </w:r>
            </w:hyperlink>
            <w:r>
              <w:rPr>
                <w:rFonts w:ascii="Cambria" w:hAnsi="Cambria"/>
              </w:rPr>
              <w:t> </w:t>
            </w:r>
          </w:p>
        </w:tc>
      </w:tr>
      <w:tr w:rsidR="007D50CB" w14:paraId="66295C1B" w14:textId="77777777" w:rsidTr="007D50C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13AA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Γενική Φυσική ΙΙ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1ADE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Ν. Χαραλαμπίδου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8CD0" w14:textId="77777777" w:rsidR="007D50CB" w:rsidRDefault="007D50CB">
            <w:pPr>
              <w:spacing w:before="100" w:beforeAutospacing="1" w:after="100" w:afterAutospacing="1" w:line="276" w:lineRule="atLeast"/>
              <w:rPr>
                <w:rFonts w:ascii="Helvetica" w:hAnsi="Helvetica"/>
              </w:rPr>
            </w:pPr>
            <w:hyperlink r:id="rId5" w:tgtFrame="_blank" w:history="1">
              <w:r>
                <w:rPr>
                  <w:rStyle w:val="Hyperlink"/>
                  <w:rFonts w:ascii="Helvetica" w:hAnsi="Helvetica"/>
                  <w:lang w:val="el-GR"/>
                </w:rPr>
                <w:t>nantiacharala@hotmail.com</w:t>
              </w:r>
            </w:hyperlink>
          </w:p>
        </w:tc>
      </w:tr>
      <w:tr w:rsidR="007D50CB" w14:paraId="6B47525A" w14:textId="77777777" w:rsidTr="007D50C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56AB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Γενικό Εργαστήριο Φυσικής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816E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 xml:space="preserve">Ν. </w:t>
            </w:r>
            <w:proofErr w:type="spellStart"/>
            <w:r>
              <w:rPr>
                <w:rFonts w:ascii="Helvetica" w:hAnsi="Helvetica"/>
                <w:lang w:val="el-GR"/>
              </w:rPr>
              <w:t>Πραδάκης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1EF1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hyperlink r:id="rId6" w:tgtFrame="_blank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nikolaosp</w:t>
              </w:r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111@</w:t>
              </w:r>
              <w:r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gmail</w:t>
              </w:r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.</w:t>
              </w:r>
              <w:r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com</w:t>
              </w:r>
            </w:hyperlink>
          </w:p>
          <w:p w14:paraId="6507F66A" w14:textId="77777777" w:rsidR="007D50CB" w:rsidRDefault="007D50CB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Helvetica" w:hAnsi="Helvetica"/>
                <w:lang w:val="el-GR"/>
              </w:rPr>
              <w:t> </w:t>
            </w:r>
          </w:p>
        </w:tc>
      </w:tr>
    </w:tbl>
    <w:p w14:paraId="34613D52" w14:textId="0E7F0EBC" w:rsidR="006F6864" w:rsidRDefault="006F6864" w:rsidP="006F6864">
      <w:pPr>
        <w:rPr>
          <w:color w:val="000000" w:themeColor="text1"/>
          <w:lang w:val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721"/>
        <w:gridCol w:w="2144"/>
        <w:gridCol w:w="3135"/>
        <w:gridCol w:w="15"/>
      </w:tblGrid>
      <w:tr w:rsidR="006F6864" w14:paraId="2BE372A1" w14:textId="77777777" w:rsidTr="006F6864">
        <w:trPr>
          <w:trHeight w:val="260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7F736" w14:textId="77777777" w:rsid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5/7- 30/7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39BF8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14:paraId="290AEBD2" w14:textId="77777777" w:rsidTr="006F6864">
        <w:trPr>
          <w:trHeight w:val="26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B155F1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AD504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55BDF6CB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5AA50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37C6E" w14:textId="77777777" w:rsid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Δευτέρ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α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958BC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3D1ED6F1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A30F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8:30-9:15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6413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0D67D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4BFC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CC7EF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45896685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8C174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9:15-10:00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25A2E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64C9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95733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13BF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2D5D9B09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D7E1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AB3A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BDC4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DF0B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E96D8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5A861405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7572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10:45-11:30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38AB3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CF1A2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EB051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ECC73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3F962D8E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ADF27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C51D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E398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1404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901A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2ADE64FB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80F1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12:15-13:30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58E04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2206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3E93E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7B7AF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14:paraId="4483FB2F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4B1B3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1E290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D938A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1FE2F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11DE0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7E3F5FFA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07A1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EE3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A1B88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F0DEA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5BE38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3BC10A43" w14:textId="77777777" w:rsidTr="006F6864">
        <w:trPr>
          <w:trHeight w:val="26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00EA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9FE07" w14:textId="77777777" w:rsid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Τρίτη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33765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7A01AB6A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38DBE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8:30-9:15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B752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2A405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4ED8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CBE69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4956BAAD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0994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9:15-10:00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E4735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EB14C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45972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84408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37913E63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45B89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64B3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D6E8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5EBF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F7E69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64A946D8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3374D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10:45-11:30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6EEC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5276F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67CAD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9F142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6AB4C85C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FAC74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11:30-12:15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7ABC4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55EEF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E3D8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CBA52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45F43B95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752D4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12:15-13:30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16DF3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E270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B064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5ADAA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14:paraId="249DB1F3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EA164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4022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34B23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68868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BE004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11CE95D7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08F78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CC06B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E89D5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A9CBA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B5812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1E356DDE" w14:textId="77777777" w:rsidTr="006F6864">
        <w:trPr>
          <w:trHeight w:val="26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10C7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B7A8F" w14:textId="77777777" w:rsid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Τετάρτη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998BE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0EC4A87D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A403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8:30-9:15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A9B5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5B74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41B53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9231C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7D59CCDB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0898B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9:15-10:00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73EF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7AE2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3E885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C2DE7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005CC1D8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FADF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92D08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154A9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9BF8B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23EB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0CF101C7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3C49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10:45-11:30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67491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2C1CB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1632F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6E521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42458325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DDA28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6E01D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07921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38A21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F519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13F2F18B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EBB8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12:15-13:30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E469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E5FA6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80C11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BAD2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14:paraId="588D7B31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92082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1236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48C8A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6BB0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02BCF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762CD138" w14:textId="77777777" w:rsidTr="006F6864">
        <w:trPr>
          <w:trHeight w:val="260"/>
        </w:trPr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DC38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C2CE2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29A16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17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42D8" w14:textId="77777777" w:rsidR="006F6864" w:rsidRDefault="006F6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70DE5" w14:textId="77777777" w:rsidR="006F6864" w:rsidRDefault="006F6864">
            <w:pPr>
              <w:rPr>
                <w:sz w:val="20"/>
                <w:szCs w:val="20"/>
              </w:rPr>
            </w:pPr>
          </w:p>
        </w:tc>
      </w:tr>
      <w:tr w:rsidR="006F6864" w14:paraId="5E4CF1A6" w14:textId="77777777" w:rsidTr="006F6864">
        <w:trPr>
          <w:trHeight w:val="26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590A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ACAC" w14:textId="77777777" w:rsid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Πέμ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π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τη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C2CBB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2D6E8BAF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66D7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8:30-9:15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91169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B1AC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0D19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23FD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4D6AA7E7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8C33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9:15-10:00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28EA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A6F2D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7E6D7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FA99D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78FA1D56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27C8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10:00-10:45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AD57C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C7DF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ΙΙΙ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C76FA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D1ACE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</w:tr>
      <w:tr w:rsidR="006F6864" w14:paraId="326127A6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578A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10:45-11:30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F272C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E74E4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0141" w14:textId="77777777" w:rsidR="006F6864" w:rsidRDefault="006F6864">
            <w:pPr>
              <w:rPr>
                <w:rFonts w:ascii="Helvetica" w:hAnsi="Helvetic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7FDD2" w14:textId="77777777" w:rsidR="006F6864" w:rsidRDefault="006F6864">
            <w:pPr>
              <w:rPr>
                <w:rFonts w:ascii="Helvetica" w:hAnsi="Helvetica"/>
              </w:rPr>
            </w:pPr>
          </w:p>
        </w:tc>
      </w:tr>
      <w:tr w:rsidR="006F6864" w:rsidRPr="006F6864" w14:paraId="1A6E7650" w14:textId="77777777" w:rsidTr="006F6864">
        <w:trPr>
          <w:trHeight w:val="26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D449" w14:textId="77777777" w:rsidR="006F6864" w:rsidRDefault="006F6864">
            <w:pPr>
              <w:spacing w:before="100" w:beforeAutospacing="1" w:after="100" w:afterAutospacing="1"/>
              <w:rPr>
                <w:rFonts w:ascii="Helvetica" w:hAnsi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11:30-12:15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CB35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Διαφορικός Λογισμός ΙΙ Ομάδα ΙΙΙ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B687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Γενική Φυσική ΙΙ Ομάδα Ι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51FB4" w14:textId="77777777" w:rsidR="006F6864" w:rsidRPr="006F6864" w:rsidRDefault="006F6864">
            <w:pPr>
              <w:spacing w:before="100" w:beforeAutospacing="1" w:after="100" w:afterAutospacing="1"/>
              <w:jc w:val="center"/>
              <w:rPr>
                <w:rFonts w:ascii="Helvetica" w:hAnsi="Helvetica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Γενικό Εργαστήριο Φυσικής  Ομάδα ΙΙ</w:t>
            </w:r>
          </w:p>
        </w:tc>
        <w:tc>
          <w:tcPr>
            <w:tcW w:w="0" w:type="auto"/>
            <w:vAlign w:val="center"/>
            <w:hideMark/>
          </w:tcPr>
          <w:p w14:paraId="725DFAE1" w14:textId="77777777" w:rsidR="006F6864" w:rsidRPr="006F6864" w:rsidRDefault="006F6864">
            <w:pPr>
              <w:rPr>
                <w:sz w:val="20"/>
                <w:szCs w:val="20"/>
                <w:lang w:val="el-GR"/>
              </w:rPr>
            </w:pPr>
          </w:p>
        </w:tc>
      </w:tr>
      <w:tr w:rsidR="006F6864" w:rsidRPr="006F6864" w14:paraId="0657551D" w14:textId="77777777" w:rsidTr="006F6864">
        <w:tc>
          <w:tcPr>
            <w:tcW w:w="0" w:type="auto"/>
            <w:vAlign w:val="center"/>
            <w:hideMark/>
          </w:tcPr>
          <w:p w14:paraId="1ABD962F" w14:textId="77777777" w:rsidR="006F6864" w:rsidRPr="006F6864" w:rsidRDefault="006F686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7489C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98A13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2C90E" w14:textId="77777777" w:rsidR="006F6864" w:rsidRPr="006F6864" w:rsidRDefault="006F6864">
            <w:pPr>
              <w:rPr>
                <w:rFonts w:ascii="Helvetica" w:hAnsi="Helvetica"/>
                <w:lang w:val="el-GR"/>
              </w:rPr>
            </w:pPr>
          </w:p>
        </w:tc>
        <w:tc>
          <w:tcPr>
            <w:tcW w:w="0" w:type="auto"/>
            <w:vAlign w:val="center"/>
            <w:hideMark/>
          </w:tcPr>
          <w:p w14:paraId="63C7E2DE" w14:textId="77777777" w:rsidR="006F6864" w:rsidRPr="006F6864" w:rsidRDefault="006F6864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3B650057" w14:textId="5F68F3AE" w:rsidR="006F6864" w:rsidRDefault="006F6864" w:rsidP="006F6864">
      <w:pPr>
        <w:rPr>
          <w:color w:val="000000" w:themeColor="text1"/>
          <w:lang w:val="el-GR"/>
        </w:rPr>
      </w:pPr>
    </w:p>
    <w:p w14:paraId="58593240" w14:textId="694B2458" w:rsidR="006F6864" w:rsidRDefault="006F6864" w:rsidP="006F6864">
      <w:pPr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 xml:space="preserve">Οι αίθουσες </w:t>
      </w:r>
      <w:r>
        <w:rPr>
          <w:color w:val="000000" w:themeColor="text1"/>
        </w:rPr>
        <w:t xml:space="preserve">Zoom </w:t>
      </w:r>
      <w:r>
        <w:rPr>
          <w:color w:val="000000" w:themeColor="text1"/>
          <w:lang w:val="el-GR"/>
        </w:rPr>
        <w:t>είναι</w:t>
      </w:r>
      <w:r w:rsidR="007D50CB">
        <w:rPr>
          <w:color w:val="000000" w:themeColor="text1"/>
          <w:lang w:val="el-GR"/>
        </w:rPr>
        <w:t>:</w:t>
      </w:r>
    </w:p>
    <w:p w14:paraId="02BE23A8" w14:textId="29B06ACC" w:rsidR="007D50CB" w:rsidRDefault="007D50CB" w:rsidP="006F6864">
      <w:pPr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>Διαφορικός Λογισμός ΙΙ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7D50CB" w14:paraId="25F2A906" w14:textId="77777777" w:rsidTr="007D50CB">
        <w:trPr>
          <w:trHeight w:val="26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BF854" w14:textId="77777777" w:rsidR="007D50CB" w:rsidRDefault="007D50C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https://zoom.us/j/98691612974</w:t>
              </w:r>
            </w:hyperlink>
          </w:p>
        </w:tc>
      </w:tr>
    </w:tbl>
    <w:p w14:paraId="4591EE47" w14:textId="6FFDE3E8" w:rsidR="007D50CB" w:rsidRDefault="007D50CB" w:rsidP="006F6864">
      <w:pPr>
        <w:rPr>
          <w:color w:val="000000" w:themeColor="text1"/>
          <w:lang w:val="el-GR"/>
        </w:rPr>
      </w:pPr>
    </w:p>
    <w:p w14:paraId="7A1D2647" w14:textId="4CB22008" w:rsidR="007D50CB" w:rsidRDefault="007D50CB" w:rsidP="006F6864">
      <w:pPr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>Γενική Φυσική ΙΙ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7D50CB" w14:paraId="2570027C" w14:textId="77777777" w:rsidTr="007D50CB">
        <w:trPr>
          <w:trHeight w:val="37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65D8" w14:textId="77777777" w:rsidR="007D50CB" w:rsidRDefault="007D50C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https://zoom.us/j/95400919191</w:t>
              </w:r>
            </w:hyperlink>
          </w:p>
        </w:tc>
      </w:tr>
    </w:tbl>
    <w:p w14:paraId="6883A853" w14:textId="7892DA70" w:rsidR="007D50CB" w:rsidRDefault="007D50CB" w:rsidP="006F6864">
      <w:pPr>
        <w:rPr>
          <w:color w:val="000000" w:themeColor="text1"/>
          <w:lang w:val="el-GR"/>
        </w:rPr>
      </w:pPr>
    </w:p>
    <w:p w14:paraId="3F583A26" w14:textId="551C21FE" w:rsidR="007D50CB" w:rsidRDefault="007D50CB" w:rsidP="006F6864">
      <w:pPr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>Γενικό Εργαστήριο Φυσικής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580"/>
      </w:tblGrid>
      <w:tr w:rsidR="007D50CB" w14:paraId="42455D75" w14:textId="77777777" w:rsidTr="007D50CB">
        <w:trPr>
          <w:trHeight w:val="28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D2BF9" w14:textId="77777777" w:rsidR="007D50CB" w:rsidRDefault="007D50C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https://zoom.us/j/95242698106</w:t>
              </w:r>
            </w:hyperlink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CB4EA" w14:textId="77777777" w:rsidR="007D50CB" w:rsidRDefault="007D50C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 </w:t>
            </w:r>
          </w:p>
        </w:tc>
      </w:tr>
    </w:tbl>
    <w:p w14:paraId="3350EA09" w14:textId="77777777" w:rsidR="007D50CB" w:rsidRDefault="007D50CB" w:rsidP="006F6864">
      <w:pPr>
        <w:rPr>
          <w:color w:val="000000" w:themeColor="text1"/>
          <w:lang w:val="el-GR"/>
        </w:rPr>
      </w:pPr>
    </w:p>
    <w:p w14:paraId="164D1762" w14:textId="77777777" w:rsidR="007D50CB" w:rsidRPr="006F6864" w:rsidRDefault="007D50CB" w:rsidP="006F6864">
      <w:pPr>
        <w:rPr>
          <w:color w:val="000000" w:themeColor="text1"/>
          <w:lang w:val="el-GR"/>
        </w:rPr>
      </w:pPr>
    </w:p>
    <w:sectPr w:rsidR="007D50CB" w:rsidRPr="006F6864" w:rsidSect="00620CF4">
      <w:pgSz w:w="11900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4"/>
    <w:rsid w:val="00003B33"/>
    <w:rsid w:val="00016862"/>
    <w:rsid w:val="00066AD3"/>
    <w:rsid w:val="00091DD5"/>
    <w:rsid w:val="000B1D1D"/>
    <w:rsid w:val="00100C80"/>
    <w:rsid w:val="001304C9"/>
    <w:rsid w:val="00135FD9"/>
    <w:rsid w:val="001867BD"/>
    <w:rsid w:val="002074D3"/>
    <w:rsid w:val="00285E03"/>
    <w:rsid w:val="003111B4"/>
    <w:rsid w:val="0033176F"/>
    <w:rsid w:val="00354EAF"/>
    <w:rsid w:val="003B3BCF"/>
    <w:rsid w:val="003F6AAD"/>
    <w:rsid w:val="00421598"/>
    <w:rsid w:val="004762D4"/>
    <w:rsid w:val="004D639D"/>
    <w:rsid w:val="004F0EC2"/>
    <w:rsid w:val="00514CCB"/>
    <w:rsid w:val="00516B57"/>
    <w:rsid w:val="005761EA"/>
    <w:rsid w:val="00593799"/>
    <w:rsid w:val="00612713"/>
    <w:rsid w:val="00614716"/>
    <w:rsid w:val="00620CF4"/>
    <w:rsid w:val="00673B04"/>
    <w:rsid w:val="00687D21"/>
    <w:rsid w:val="006A66C2"/>
    <w:rsid w:val="006D6A06"/>
    <w:rsid w:val="006F6864"/>
    <w:rsid w:val="00735A42"/>
    <w:rsid w:val="007950DD"/>
    <w:rsid w:val="007A3513"/>
    <w:rsid w:val="007B19FA"/>
    <w:rsid w:val="007D50CB"/>
    <w:rsid w:val="007E5303"/>
    <w:rsid w:val="007E5D50"/>
    <w:rsid w:val="00804BFE"/>
    <w:rsid w:val="0082264D"/>
    <w:rsid w:val="008378B6"/>
    <w:rsid w:val="00855473"/>
    <w:rsid w:val="00896D2A"/>
    <w:rsid w:val="008B7BF7"/>
    <w:rsid w:val="008D3EA4"/>
    <w:rsid w:val="008F6FDB"/>
    <w:rsid w:val="00906ECB"/>
    <w:rsid w:val="00931BB8"/>
    <w:rsid w:val="009607BC"/>
    <w:rsid w:val="00982475"/>
    <w:rsid w:val="009E048F"/>
    <w:rsid w:val="009F7070"/>
    <w:rsid w:val="00A01AB4"/>
    <w:rsid w:val="00AE224A"/>
    <w:rsid w:val="00B06322"/>
    <w:rsid w:val="00B2727D"/>
    <w:rsid w:val="00B276AA"/>
    <w:rsid w:val="00B32990"/>
    <w:rsid w:val="00B63314"/>
    <w:rsid w:val="00B75F82"/>
    <w:rsid w:val="00B96145"/>
    <w:rsid w:val="00BC1A77"/>
    <w:rsid w:val="00BF0274"/>
    <w:rsid w:val="00BF0680"/>
    <w:rsid w:val="00C13CD4"/>
    <w:rsid w:val="00C664AD"/>
    <w:rsid w:val="00CB608D"/>
    <w:rsid w:val="00D357AA"/>
    <w:rsid w:val="00D412B7"/>
    <w:rsid w:val="00D5659A"/>
    <w:rsid w:val="00D833EE"/>
    <w:rsid w:val="00DB0646"/>
    <w:rsid w:val="00DE7872"/>
    <w:rsid w:val="00E15196"/>
    <w:rsid w:val="00E33A1D"/>
    <w:rsid w:val="00E50FCC"/>
    <w:rsid w:val="00E84113"/>
    <w:rsid w:val="00E863D4"/>
    <w:rsid w:val="00EC0D0F"/>
    <w:rsid w:val="00EE3004"/>
    <w:rsid w:val="00EF1DE0"/>
    <w:rsid w:val="00F13C32"/>
    <w:rsid w:val="00F24640"/>
    <w:rsid w:val="00F35352"/>
    <w:rsid w:val="00F537EA"/>
    <w:rsid w:val="00F5448A"/>
    <w:rsid w:val="00F5760D"/>
    <w:rsid w:val="00F921A1"/>
    <w:rsid w:val="00F953E4"/>
    <w:rsid w:val="00FA2B5E"/>
    <w:rsid w:val="00FA32BC"/>
    <w:rsid w:val="00FA5449"/>
    <w:rsid w:val="00FC09D5"/>
    <w:rsid w:val="00FC3D46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051E0"/>
  <w15:chartTrackingRefBased/>
  <w15:docId w15:val="{E88AEEF0-DAE3-5B46-91D3-D5D0D037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864"/>
  </w:style>
  <w:style w:type="character" w:styleId="Hyperlink">
    <w:name w:val="Hyperlink"/>
    <w:basedOn w:val="DefaultParagraphFont"/>
    <w:uiPriority w:val="99"/>
    <w:semiHidden/>
    <w:unhideWhenUsed/>
    <w:rsid w:val="006F6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4009191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86916129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osp11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ntiacharala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ikgrigor@yahoo.gr" TargetMode="External"/><Relationship Id="rId9" Type="http://schemas.openxmlformats.org/officeDocument/2006/relationships/hyperlink" Target="https://zoom.us/j/95242698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vordosn@yahoo.com</dc:creator>
  <cp:keywords/>
  <dc:description/>
  <cp:lastModifiedBy>vordosn@yahoo.com</cp:lastModifiedBy>
  <cp:revision>2</cp:revision>
  <dcterms:created xsi:type="dcterms:W3CDTF">2021-07-02T07:34:00Z</dcterms:created>
  <dcterms:modified xsi:type="dcterms:W3CDTF">2021-07-02T07:43:00Z</dcterms:modified>
</cp:coreProperties>
</file>